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BodyText"/>
        <w:jc w:val="center"/>
        <w:rPr>
          <w:rFonts w:ascii="Arial" w:hAnsi="Arial" w:cs="Arial"/>
          <w:b/>
          <w:bCs/>
          <w:sz w:val="24"/>
        </w:rPr>
      </w:pPr>
      <w:r>
        <w:rPr>
          <w:rFonts w:cs="Arial" w:ascii="Arial" w:hAnsi="Arial"/>
          <w:b/>
          <w:bCs/>
          <w:sz w:val="24"/>
        </w:rPr>
      </w:r>
    </w:p>
    <w:p>
      <w:pPr>
        <w:pStyle w:val="Standard"/>
        <w:pBdr>
          <w:top w:val="single" w:sz="4" w:space="0" w:color="000000"/>
          <w:left w:val="single" w:sz="4" w:space="0" w:color="000000"/>
          <w:right w:val="single" w:sz="4" w:space="0" w:color="000000"/>
        </w:pBdr>
        <w:jc w:val="center"/>
        <w:rPr>
          <w:rFonts w:ascii="Arial" w:hAnsi="Arial" w:cs="Arial"/>
          <w:b/>
          <w:bCs/>
        </w:rPr>
      </w:pPr>
      <w:r>
        <w:rPr>
          <w:rFonts w:cs="Arial" w:ascii="Arial" w:hAnsi="Arial"/>
          <w:b/>
          <w:bCs/>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left w:val="single" w:sz="4" w:space="0" w:color="000000"/>
          <w:bottom w:val="single" w:sz="4" w:space="0" w:color="000000"/>
          <w:right w:val="single" w:sz="4" w:space="0" w:color="000000"/>
        </w:pBdr>
        <w:jc w:val="center"/>
        <w:rPr>
          <w:rFonts w:ascii="Arial" w:hAnsi="Arial" w:cs="Arial"/>
          <w:b/>
          <w:bCs/>
        </w:rPr>
      </w:pPr>
      <w:bookmarkStart w:id="0" w:name="_Hlk184137022"/>
      <w:r>
        <w:rPr>
          <w:rFonts w:cs="Arial" w:ascii="Arial" w:hAnsi="Arial"/>
          <w:b/>
          <w:bCs/>
        </w:rPr>
        <w:t>(SolimProd 2)</w:t>
      </w:r>
      <w:bookmarkEnd w:id="0"/>
    </w:p>
    <w:p>
      <w:pPr>
        <w:pStyle w:val="EndnoteText"/>
        <w:jc w:val="center"/>
        <w:rPr>
          <w:b/>
          <w:bCs/>
          <w:color w:val="auto"/>
          <w:sz w:val="28"/>
          <w:szCs w:val="28"/>
        </w:rPr>
      </w:pPr>
      <w:r>
        <w:rPr>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t>ANNEXE AE 3</w:t>
        <w:br/>
        <w:t>(Lot N°2)</w:t>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b/>
          <w:bCs/>
          <w:color w:val="auto"/>
          <w:sz w:val="28"/>
          <w:szCs w:val="28"/>
        </w:rPr>
      </w:pPr>
      <w:r>
        <w:rPr>
          <w:rFonts w:cs="Arial" w:ascii="Arial" w:hAnsi="Arial"/>
          <w:b/>
          <w:bCs/>
          <w:color w:themeColor="text2" w:themeShade="80" w:val="auto"/>
          <w:sz w:val="28"/>
          <w:szCs w:val="28"/>
        </w:rPr>
      </w:r>
    </w:p>
    <w:p>
      <w:pPr>
        <w:pStyle w:val="EndnoteText"/>
        <w:pBdr>
          <w:top w:val="single" w:sz="4" w:space="1" w:color="000000"/>
          <w:left w:val="single" w:sz="4" w:space="4" w:color="000000"/>
          <w:bottom w:val="single" w:sz="4" w:space="1" w:color="000000"/>
          <w:right w:val="single" w:sz="4" w:space="4" w:color="000000"/>
        </w:pBdr>
        <w:jc w:val="center"/>
        <w:rPr>
          <w:rFonts w:ascii="Arial" w:hAnsi="Arial" w:cs="Arial"/>
          <w:color w:val="auto"/>
          <w:sz w:val="28"/>
          <w:szCs w:val="28"/>
        </w:rPr>
      </w:pPr>
      <w:r>
        <w:rPr>
          <w:rFonts w:cs="Arial" w:ascii="Arial" w:hAnsi="Arial"/>
          <w:b/>
          <w:bCs/>
          <w:color w:themeColor="text2" w:themeShade="80" w:val="auto"/>
          <w:sz w:val="28"/>
          <w:szCs w:val="28"/>
        </w:rPr>
        <w:t>Questionnaire sur la traçabilité sociale des chaînes d'approvisionnement</w:t>
      </w:r>
    </w:p>
    <w:p>
      <w:pPr>
        <w:pStyle w:val="EndnoteText"/>
        <w:jc w:val="center"/>
        <w:rPr>
          <w:color w:val="auto"/>
          <w:sz w:val="28"/>
          <w:szCs w:val="28"/>
        </w:rPr>
      </w:pPr>
      <w:r>
        <w:rPr>
          <w:color w:themeColor="text2" w:themeShade="80" w:val="auto"/>
          <w:sz w:val="28"/>
          <w:szCs w:val="28"/>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spacing w:before="57" w:after="100"/>
        <w:contextualSpacing/>
        <w:rPr>
          <w:rFonts w:eastAsia="Times New Roman"/>
          <w:b/>
          <w:bCs/>
          <w:szCs w:val="20"/>
        </w:rPr>
      </w:pPr>
      <w:r>
        <w:rPr>
          <w:rFonts w:eastAsia="Times New Roman"/>
          <w:b/>
          <w:bCs/>
          <w:szCs w:val="20"/>
        </w:rPr>
      </w:r>
    </w:p>
    <w:p>
      <w:pPr>
        <w:pStyle w:val="Normal"/>
        <w:rPr>
          <w:rFonts w:ascii="Arial" w:hAnsi="Arial" w:cs="Arial"/>
          <w:color w:val="auto"/>
          <w:szCs w:val="20"/>
        </w:rPr>
      </w:pPr>
      <w:r>
        <w:rPr>
          <w:rFonts w:cs="Arial" w:ascii="Arial" w:hAnsi="Arial"/>
          <w:szCs w:val="20"/>
        </w:rPr>
        <w:t>L</w:t>
      </w:r>
      <w:r>
        <w:rPr>
          <w:rFonts w:cs="Arial" w:ascii="Arial" w:hAnsi="Arial"/>
          <w:color w:themeColor="text2" w:themeShade="80" w:val="auto"/>
          <w:szCs w:val="20"/>
        </w:rPr>
        <w:t>es soumissionnaires sont invités à renseigner le questionnaire ci-dessous dénommé "Cadre de réponse sur la traçabilité sociale des chaînes d’approvisionnement"</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Les éléments de réponse apportés doivent être clairs, fiables, transparents et documentés.</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 xml:space="preserve">L'attention des soumissionnaires est attirée sur le caractère informatif des réponses mentionnées dans ce document. </w:t>
      </w:r>
    </w:p>
    <w:p>
      <w:pPr>
        <w:pStyle w:val="Normal"/>
        <w:rPr>
          <w:rFonts w:ascii="Arial" w:hAnsi="Arial" w:cs="Arial"/>
          <w:color w:val="auto"/>
          <w:szCs w:val="20"/>
        </w:rPr>
      </w:pPr>
      <w:r>
        <w:rPr>
          <w:rFonts w:cs="Arial" w:ascii="Arial" w:hAnsi="Arial"/>
          <w:color w:themeColor="text2" w:themeShade="80" w:val="auto"/>
          <w:szCs w:val="20"/>
        </w:rPr>
      </w:r>
    </w:p>
    <w:p>
      <w:pPr>
        <w:pStyle w:val="Normal"/>
        <w:rPr>
          <w:rFonts w:ascii="Arial" w:hAnsi="Arial" w:cs="Arial"/>
          <w:color w:val="auto"/>
          <w:szCs w:val="20"/>
        </w:rPr>
      </w:pPr>
      <w:r>
        <w:rPr>
          <w:rFonts w:cs="Arial" w:ascii="Arial" w:hAnsi="Arial"/>
          <w:color w:themeColor="text2" w:themeShade="80" w:val="auto"/>
          <w:szCs w:val="20"/>
        </w:rPr>
        <w:t>Si le renseignement du tableau n’est pas obligatoire pour les soumissionnaires,</w:t>
      </w:r>
      <w:r>
        <w:rPr>
          <w:rFonts w:cs="Arial" w:ascii="Arial" w:hAnsi="Arial"/>
          <w:b/>
          <w:color w:themeColor="text2" w:themeShade="80" w:val="auto"/>
          <w:szCs w:val="20"/>
        </w:rPr>
        <w:t xml:space="preserve"> en cas d’attribution du marché, le Titulaire est tenu de renseigner le questionnaire et de le fournir à l’Acheteur dans un délai d’un (01) mois suivant la notification du marché. </w:t>
      </w:r>
      <w:r>
        <w:rPr>
          <w:rFonts w:cs="Arial" w:ascii="Arial" w:hAnsi="Arial"/>
          <w:color w:themeColor="text2" w:themeShade="80" w:val="auto"/>
          <w:szCs w:val="20"/>
        </w:rPr>
        <w:t>Ces informations deviennent alors contractuelles (voir article 9.2 du CCTP).</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Quand l’information n’est pas disponible, le candidat indique « non maîtrisé » à la question concernée.</w:t>
      </w:r>
    </w:p>
    <w:p>
      <w:pPr>
        <w:pStyle w:val="Normal"/>
        <w:jc w:val="left"/>
        <w:rPr>
          <w:rFonts w:ascii="Arial" w:hAnsi="Arial" w:cs="Arial"/>
          <w:color w:val="auto"/>
          <w:szCs w:val="20"/>
        </w:rPr>
      </w:pPr>
      <w:r>
        <w:rPr>
          <w:rFonts w:cs="Arial" w:ascii="Arial" w:hAnsi="Arial"/>
          <w:color w:themeColor="text2" w:themeShade="80" w:val="auto"/>
          <w:szCs w:val="20"/>
        </w:rPr>
      </w:r>
    </w:p>
    <w:p>
      <w:pPr>
        <w:pStyle w:val="Normal"/>
        <w:jc w:val="left"/>
        <w:rPr>
          <w:rFonts w:ascii="Arial" w:hAnsi="Arial" w:cs="Arial"/>
          <w:color w:val="auto"/>
          <w:szCs w:val="20"/>
        </w:rPr>
      </w:pPr>
      <w:r>
        <w:rPr>
          <w:rFonts w:cs="Arial" w:ascii="Arial" w:hAnsi="Arial"/>
          <w:color w:themeColor="text2" w:themeShade="80" w:val="auto"/>
          <w:szCs w:val="20"/>
        </w:rPr>
        <w:t>Exemples de moyens de preuve / documentation (liste non exhaustive):</w:t>
      </w:r>
    </w:p>
    <w:p>
      <w:pPr>
        <w:pStyle w:val="EndnoteText"/>
        <w:numPr>
          <w:ilvl w:val="0"/>
          <w:numId w:val="1"/>
        </w:numPr>
        <w:rPr>
          <w:rFonts w:ascii="Arial" w:hAnsi="Arial" w:cs="Arial"/>
          <w:color w:val="auto"/>
        </w:rPr>
      </w:pPr>
      <w:r>
        <w:rPr>
          <w:rFonts w:cs="Arial" w:ascii="Arial" w:hAnsi="Arial"/>
          <w:color w:themeColor="text2" w:themeShade="80" w:val="auto"/>
        </w:rPr>
        <w:t>Pour les candidats soumis à la loi sur le devoir de vigilance des sociétés mères et des entreprises donneuses d’ordre, plan de vigilance et rapport de suivi dans sa mise en œuvre (</w:t>
      </w:r>
      <w:r>
        <w:rPr>
          <w:rFonts w:cs="Arial" w:ascii="Arial" w:hAnsi="Arial"/>
          <w:i/>
          <w:iCs/>
          <w:color w:themeColor="text2" w:themeShade="80" w:val="auto"/>
        </w:rPr>
        <w:t xml:space="preserve">réf: </w:t>
      </w:r>
      <w:hyperlink r:id="rId2">
        <w:r>
          <w:rPr>
            <w:rStyle w:val="Hyperlink"/>
            <w:rFonts w:cs="Arial" w:ascii="Arial" w:hAnsi="Arial"/>
            <w:i/>
            <w:iCs/>
          </w:rPr>
          <w:t>https://www.legifrance.gouv.fr/affichTexte.do?cidTexte=JORFTEXT000034290626&amp;categorieLien=id</w:t>
        </w:r>
      </w:hyperlink>
      <w:r>
        <w:rPr>
          <w:rFonts w:cs="Arial" w:ascii="Arial" w:hAnsi="Arial"/>
          <w:i/>
          <w:iCs/>
          <w:color w:themeColor="text2" w:themeShade="80" w:val="auto"/>
        </w:rPr>
        <w:t>)</w:t>
      </w:r>
    </w:p>
    <w:p>
      <w:pPr>
        <w:pStyle w:val="EndnoteText"/>
        <w:numPr>
          <w:ilvl w:val="0"/>
          <w:numId w:val="1"/>
        </w:numPr>
        <w:rPr>
          <w:rFonts w:ascii="Arial" w:hAnsi="Arial" w:cs="Arial"/>
          <w:color w:val="auto"/>
        </w:rPr>
      </w:pPr>
      <w:r>
        <w:rPr>
          <w:rFonts w:cs="Arial" w:ascii="Arial" w:hAnsi="Arial"/>
          <w:color w:themeColor="text2" w:themeShade="80" w:val="auto"/>
        </w:rPr>
        <w:t>Certifications (ex: SA 8000), attestation d'organismes tierces indépendants, adhésion à des initiatives sectorielles multipartites</w:t>
      </w:r>
    </w:p>
    <w:p>
      <w:pPr>
        <w:pStyle w:val="EndnoteText"/>
        <w:numPr>
          <w:ilvl w:val="0"/>
          <w:numId w:val="1"/>
        </w:numPr>
        <w:rPr>
          <w:rFonts w:ascii="Arial" w:hAnsi="Arial" w:cs="Arial"/>
          <w:color w:val="auto"/>
        </w:rPr>
      </w:pPr>
      <w:r>
        <w:rPr>
          <w:rFonts w:cs="Arial" w:ascii="Arial" w:hAnsi="Arial"/>
          <w:color w:themeColor="text2" w:themeShade="80" w:val="auto"/>
        </w:rPr>
        <w:t>Rapport d'audit interne, déclaration des fabricants, codes de conduite</w:t>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EndnoteText"/>
        <w:ind w:left="720"/>
        <w:rPr>
          <w:color w:val="auto"/>
        </w:rPr>
      </w:pPr>
      <w:r>
        <w:rPr>
          <w:color w:themeColor="text2" w:themeShade="80" w:val="auto"/>
        </w:rPr>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109"/>
        <w:gridCol w:w="865"/>
        <w:gridCol w:w="718"/>
        <w:gridCol w:w="2388"/>
        <w:gridCol w:w="1867"/>
      </w:tblGrid>
      <w:tr>
        <w:trPr>
          <w:trHeight w:val="490" w:hRule="atLeast"/>
        </w:trPr>
        <w:tc>
          <w:tcPr>
            <w:tcW w:w="4974" w:type="dxa"/>
            <w:gridSpan w:val="2"/>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Raison sociale du titulaire :</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gridSpan w:val="3"/>
            <w:tcBorders/>
          </w:tcPr>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r>
        <w:trPr>
          <w:trHeight w:val="490" w:hRule="atLeast"/>
        </w:trPr>
        <w:tc>
          <w:tcPr>
            <w:tcW w:w="4974" w:type="dxa"/>
            <w:gridSpan w:val="2"/>
            <w:tcBorders/>
          </w:tcPr>
          <w:p>
            <w:pPr>
              <w:pStyle w:val="Normal"/>
              <w:widowControl/>
              <w:suppressAutoHyphens w:val="true"/>
              <w:spacing w:before="0" w:after="100"/>
              <w:contextualSpacing/>
              <w:rPr>
                <w:rFonts w:ascii="Arial" w:hAnsi="Arial" w:cs="Arial"/>
                <w:b/>
                <w:color w:val="auto"/>
                <w:szCs w:val="20"/>
              </w:rPr>
            </w:pPr>
            <w:r>
              <w:rPr>
                <w:rFonts w:eastAsia="Calibri" w:cs="Arial" w:ascii="Arial" w:hAnsi="Arial"/>
                <w:b/>
                <w:color w:themeColor="text2" w:themeShade="80" w:val="auto"/>
                <w:kern w:val="0"/>
                <w:szCs w:val="20"/>
                <w:lang w:val="fr-FR" w:eastAsia="en-US" w:bidi="ar-SA"/>
              </w:rPr>
              <w:t>Systèmes d’impression concernés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p>
            <w:pPr>
              <w:pStyle w:val="Normal"/>
              <w:widowControl/>
              <w:suppressAutoHyphens w:val="true"/>
              <w:spacing w:before="0" w:after="100"/>
              <w:contextualSpacing/>
              <w:rPr>
                <w:rFonts w:ascii="Arial" w:hAnsi="Arial" w:cs="Arial"/>
                <w:b/>
                <w:i/>
                <w:i/>
                <w:color w:val="auto"/>
                <w:szCs w:val="20"/>
              </w:rPr>
            </w:pPr>
            <w:r>
              <w:rPr>
                <w:rFonts w:eastAsia="Calibri" w:cs="Arial" w:ascii="Arial" w:hAnsi="Arial"/>
                <w:b/>
                <w:i/>
                <w:color w:themeColor="text2" w:themeShade="80" w:val="auto"/>
                <w:kern w:val="0"/>
                <w:szCs w:val="20"/>
                <w:lang w:val="fr-FR" w:eastAsia="en-US" w:bidi="ar-SA"/>
              </w:rPr>
              <w:t>(cocher la/les case(s) – joindre un questionnaire distinct si des réponses différentes sont nécessaire selon les configurations)</w:t>
            </w:r>
          </w:p>
          <w:p>
            <w:pPr>
              <w:pStyle w:val="Normal"/>
              <w:widowControl/>
              <w:suppressAutoHyphens w:val="true"/>
              <w:spacing w:before="0" w:after="100"/>
              <w:contextualSpacing/>
              <w:rPr>
                <w:rFonts w:ascii="Arial" w:hAnsi="Arial" w:cs="Arial"/>
                <w:b/>
                <w:color w:val="auto"/>
                <w:szCs w:val="20"/>
              </w:rPr>
            </w:pPr>
            <w:r>
              <w:rPr>
                <w:rFonts w:cs="Arial" w:ascii="Arial" w:hAnsi="Arial"/>
                <w:b/>
                <w:color w:themeColor="text2" w:themeShade="80" w:val="auto"/>
                <w:szCs w:val="20"/>
              </w:rPr>
            </w:r>
          </w:p>
        </w:tc>
        <w:tc>
          <w:tcPr>
            <w:tcW w:w="4973" w:type="dxa"/>
            <w:gridSpan w:val="3"/>
            <w:tcBorders/>
          </w:tcPr>
          <w:p>
            <w:pPr>
              <w:pStyle w:val="Normal"/>
              <w:widowControl/>
              <w:suppressAutoHyphens w:val="true"/>
              <w:spacing w:before="0" w:after="100"/>
              <w:contextualSpacing/>
              <w:rPr>
                <w:rFonts w:ascii="Arial" w:hAnsi="Arial" w:cs="Arial"/>
                <w:color w:val="auto"/>
                <w:szCs w:val="20"/>
              </w:rPr>
            </w:pPr>
            <w:sdt>
              <w:sdtPr>
                <w:id w:val="-1749108652"/>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color w:themeColor="text2" w:themeShade="80" w:val="auto"/>
                <w:kern w:val="0"/>
                <w:szCs w:val="20"/>
                <w:lang w:val="fr-FR" w:eastAsia="en-US" w:bidi="ar-SA"/>
              </w:rPr>
              <w:t>N2A</w:t>
            </w:r>
          </w:p>
          <w:p>
            <w:pPr>
              <w:pStyle w:val="Normal"/>
              <w:widowControl/>
              <w:suppressAutoHyphens w:val="true"/>
              <w:spacing w:before="0" w:after="100"/>
              <w:contextualSpacing/>
              <w:rPr>
                <w:rFonts w:ascii="Arial" w:hAnsi="Arial" w:cs="Arial"/>
                <w:color w:val="auto"/>
                <w:szCs w:val="20"/>
              </w:rPr>
            </w:pPr>
            <w:sdt>
              <w:sdtPr>
                <w:id w:val="-2102244222"/>
                <w14:checkbox>
                  <w14:checked w14:val="0"/>
                  <w14:checkedState w14:val="2612"/>
                  <w14:uncheckedState w14:val="2610"/>
                </w14:checkbox>
              </w:sdtPr>
              <w:sdtContent>
                <w:r>
                  <w:rPr>
                    <w:rFonts w:eastAsia="MS Gothic" w:cs="Segoe UI Symbol" w:ascii="Segoe UI Symbol" w:hAnsi="Segoe UI Symbol"/>
                    <w:kern w:val="0"/>
                    <w:szCs w:val="20"/>
                    <w:lang w:val="fr-FR" w:eastAsia="en-US" w:bidi="ar-SA"/>
                  </w:rPr>
                </w:r>
                <w:r>
                  <w:rPr>
                    <w:rFonts w:eastAsia="MS Gothic" w:cs="Segoe UI Symbol" w:ascii="Segoe UI Symbol" w:hAnsi="Segoe UI Symbol"/>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color w:themeColor="text2" w:themeShade="80" w:val="auto"/>
                <w:kern w:val="0"/>
                <w:szCs w:val="20"/>
                <w:lang w:val="fr-FR" w:eastAsia="en-US" w:bidi="ar-SA"/>
              </w:rPr>
              <w:t>N2B</w:t>
            </w:r>
          </w:p>
          <w:p>
            <w:pPr>
              <w:pStyle w:val="Normal"/>
              <w:widowControl/>
              <w:suppressAutoHyphens w:val="true"/>
              <w:spacing w:before="0" w:after="100"/>
              <w:contextualSpacing/>
              <w:rPr>
                <w:rFonts w:ascii="Arial" w:hAnsi="Arial" w:cs="Arial"/>
                <w:szCs w:val="20"/>
              </w:rPr>
            </w:pPr>
            <w:sdt>
              <w:sdtPr>
                <w:id w:val="918686447"/>
                <w14:checkbox>
                  <w14:checked w14:val="0"/>
                  <w14:checkedState w14:val="2612"/>
                  <w14:uncheckedState w14:val="2610"/>
                </w14:checkbox>
              </w:sdtPr>
              <w:sdtContent>
                <w:r>
                  <w:rPr>
                    <w:rFonts w:eastAsia="MS Gothic" w:cs="Segoe UI Symbol" w:ascii="Segoe UI Symbol" w:hAnsi="Segoe UI Symbol"/>
                    <w:kern w:val="0"/>
                    <w:szCs w:val="20"/>
                    <w:lang w:val="fr-FR" w:eastAsia="en-US" w:bidi="ar-SA"/>
                  </w:rPr>
                </w:r>
                <w:r>
                  <w:rPr>
                    <w:rFonts w:eastAsia="MS Gothic" w:cs="Segoe UI Symbol" w:ascii="Segoe UI Symbol" w:hAnsi="Segoe UI Symbol"/>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N2C</w:t>
            </w:r>
          </w:p>
          <w:p>
            <w:pPr>
              <w:pStyle w:val="Normal"/>
              <w:widowControl/>
              <w:suppressAutoHyphens w:val="true"/>
              <w:spacing w:before="0" w:after="100"/>
              <w:contextualSpacing/>
              <w:rPr>
                <w:rFonts w:ascii="Arial" w:hAnsi="Arial" w:cs="Arial"/>
                <w:color w:val="auto"/>
                <w:szCs w:val="20"/>
              </w:rPr>
            </w:pPr>
            <w:sdt>
              <w:sdtPr>
                <w:id w:val="-361519928"/>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color w:themeColor="text2" w:themeShade="80" w:val="auto"/>
                <w:kern w:val="0"/>
                <w:szCs w:val="20"/>
                <w:lang w:val="fr-FR" w:eastAsia="en-US" w:bidi="ar-SA"/>
              </w:rPr>
              <w:t>N2D</w:t>
            </w:r>
          </w:p>
          <w:p>
            <w:pPr>
              <w:pStyle w:val="Normal"/>
              <w:widowControl/>
              <w:suppressAutoHyphens w:val="true"/>
              <w:spacing w:before="0" w:after="100"/>
              <w:contextualSpacing/>
              <w:rPr>
                <w:rFonts w:ascii="Arial" w:hAnsi="Arial" w:cs="Arial"/>
                <w:szCs w:val="20"/>
              </w:rPr>
            </w:pPr>
            <w:sdt>
              <w:sdtPr>
                <w:id w:val="-2122054001"/>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C2A</w:t>
            </w:r>
          </w:p>
          <w:p>
            <w:pPr>
              <w:pStyle w:val="Normal"/>
              <w:widowControl/>
              <w:suppressAutoHyphens w:val="true"/>
              <w:spacing w:before="0" w:after="100"/>
              <w:contextualSpacing/>
              <w:rPr>
                <w:rFonts w:ascii="Arial" w:hAnsi="Arial" w:cs="Arial"/>
                <w:color w:val="auto"/>
                <w:szCs w:val="20"/>
              </w:rPr>
            </w:pPr>
            <w:sdt>
              <w:sdtPr>
                <w:id w:val="-259068252"/>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C2B</w:t>
            </w:r>
          </w:p>
          <w:p>
            <w:pPr>
              <w:pStyle w:val="Normal"/>
              <w:widowControl/>
              <w:suppressAutoHyphens w:val="true"/>
              <w:spacing w:before="0" w:after="100"/>
              <w:contextualSpacing/>
              <w:rPr>
                <w:rFonts w:ascii="Arial" w:hAnsi="Arial" w:cs="Arial"/>
                <w:color w:val="auto"/>
                <w:szCs w:val="20"/>
              </w:rPr>
            </w:pPr>
            <w:sdt>
              <w:sdtPr>
                <w:id w:val="-1311471649"/>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C2C</w:t>
            </w:r>
          </w:p>
          <w:p>
            <w:pPr>
              <w:pStyle w:val="Normal"/>
              <w:widowControl/>
              <w:suppressAutoHyphens w:val="true"/>
              <w:spacing w:before="0" w:after="100"/>
              <w:contextualSpacing/>
              <w:rPr>
                <w:rFonts w:ascii="Arial" w:hAnsi="Arial" w:cs="Arial"/>
                <w:color w:val="auto"/>
                <w:szCs w:val="20"/>
              </w:rPr>
            </w:pPr>
            <w:sdt>
              <w:sdtPr>
                <w:id w:val="2037537698"/>
                <w14:checkbox>
                  <w14:checked w14:val="0"/>
                  <w14:checkedState w14:val="2612"/>
                  <w14:uncheckedState w14:val="2610"/>
                </w14:checkbox>
              </w:sdtPr>
              <w:sdtContent>
                <w:r>
                  <w:rPr>
                    <w:rFonts w:eastAsia="MS Gothic" w:cs="Arial" w:ascii="MS Gothic" w:hAnsi="MS Gothic"/>
                    <w:kern w:val="0"/>
                    <w:szCs w:val="20"/>
                    <w:lang w:val="fr-FR" w:eastAsia="en-US" w:bidi="ar-SA"/>
                  </w:rPr>
                </w:r>
                <w:r>
                  <w:rPr>
                    <w:rFonts w:eastAsia="MS Gothic" w:cs="Arial" w:ascii="MS Gothic" w:hAnsi="MS Gothic"/>
                    <w:kern w:val="0"/>
                    <w:szCs w:val="20"/>
                    <w:lang w:val="fr-FR" w:eastAsia="en-US" w:bidi="ar-SA"/>
                  </w:rPr>
                  <w:t>☐</w:t>
                </w:r>
              </w:sdtContent>
            </w:sdt>
            <w:r>
              <w:rPr>
                <w:rFonts w:eastAsia="Calibri" w:cs="Arial" w:ascii="Arial" w:hAnsi="Arial"/>
                <w:kern w:val="0"/>
                <w:szCs w:val="20"/>
                <w:lang w:val="fr-FR" w:eastAsia="en-US" w:bidi="ar-SA"/>
              </w:rPr>
              <w:t xml:space="preserve"> </w:t>
            </w:r>
            <w:r>
              <w:rPr>
                <w:rFonts w:eastAsia="Calibri" w:cs="Arial" w:ascii="Arial" w:hAnsi="Arial"/>
                <w:kern w:val="0"/>
                <w:szCs w:val="20"/>
                <w:lang w:val="fr-FR" w:eastAsia="en-US" w:bidi="ar-SA"/>
              </w:rPr>
              <w:t>C2D</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r>
      <w:tr>
        <w:trPr>
          <w:trHeight w:val="490" w:hRule="atLeast"/>
        </w:trPr>
        <w:tc>
          <w:tcPr>
            <w:tcW w:w="4974" w:type="dxa"/>
            <w:gridSpan w:val="2"/>
            <w:tcBorders>
              <w:top w:val="nil"/>
              <w:left w:val="nil"/>
              <w:right w:val="nil"/>
            </w:tcBorders>
          </w:tcPr>
          <w:p>
            <w:pPr>
              <w:pStyle w:val="Normal"/>
              <w:widowControl/>
              <w:suppressAutoHyphens w:val="true"/>
              <w:spacing w:before="0" w:after="100"/>
              <w:contextualSpacing/>
              <w:rPr>
                <w:b/>
                <w:color w:val="auto"/>
                <w:szCs w:val="20"/>
              </w:rPr>
            </w:pPr>
            <w:r>
              <w:rPr>
                <w:b/>
                <w:color w:themeColor="text2" w:themeShade="80" w:val="auto"/>
                <w:szCs w:val="20"/>
              </w:rPr>
            </w:r>
          </w:p>
        </w:tc>
        <w:tc>
          <w:tcPr>
            <w:tcW w:w="4973" w:type="dxa"/>
            <w:gridSpan w:val="3"/>
            <w:tcBorders>
              <w:top w:val="nil"/>
              <w:left w:val="nil"/>
              <w:right w:val="nil"/>
            </w:tcBorders>
          </w:tcPr>
          <w:p>
            <w:pPr>
              <w:pStyle w:val="Normal"/>
              <w:widowControl/>
              <w:suppressAutoHyphens w:val="true"/>
              <w:spacing w:before="0" w:after="100"/>
              <w:contextualSpacing/>
              <w:rPr>
                <w:color w:val="auto"/>
                <w:szCs w:val="20"/>
              </w:rPr>
            </w:pPr>
            <w:r>
              <w:rPr>
                <w:color w:themeColor="text2" w:themeShade="80" w:val="auto"/>
                <w:szCs w:val="20"/>
              </w:rPr>
            </w:r>
          </w:p>
        </w:tc>
      </w:tr>
      <w:tr>
        <w:trPr>
          <w:trHeight w:val="600" w:hRule="atLeast"/>
        </w:trPr>
        <w:tc>
          <w:tcPr>
            <w:tcW w:w="9947" w:type="dxa"/>
            <w:gridSpan w:val="5"/>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Description de la chaîne de production et d'approvisionnement</w:t>
            </w:r>
          </w:p>
        </w:tc>
      </w:tr>
      <w:tr>
        <w:trPr>
          <w:trHeight w:val="600"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gridSpan w:val="2"/>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5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sites d'extraction minière</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i/>
                <w:i/>
                <w:iCs/>
                <w:color w:val="auto"/>
                <w:szCs w:val="20"/>
              </w:rPr>
            </w:pPr>
            <w:r>
              <w:rPr>
                <w:rFonts w:eastAsia="Calibri" w:cs="Arial" w:ascii="Arial" w:hAnsi="Arial"/>
                <w:i/>
                <w:iCs/>
                <w:color w:themeColor="text2" w:themeShade="80" w:val="auto"/>
                <w:kern w:val="0"/>
                <w:szCs w:val="20"/>
                <w:lang w:val="fr-FR" w:eastAsia="en-US" w:bidi="ar-SA"/>
              </w:rPr>
              <w:t>Si plusieurs sites, en préciser le nombre et les différentes implantations géographiques</w:t>
            </w:r>
          </w:p>
          <w:p>
            <w:pPr>
              <w:pStyle w:val="Normal"/>
              <w:widowControl/>
              <w:suppressAutoHyphens w:val="true"/>
              <w:spacing w:before="0" w:after="100"/>
              <w:contextualSpacing/>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80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peut-il garantir que les minerais ne sont pas issus de zones de conflit?</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quelle solution le candidat prévoit-il d'adopter?</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88" w:type="dxa"/>
            <w:tcBorders/>
          </w:tcPr>
          <w:p>
            <w:pPr>
              <w:pStyle w:val="Normal"/>
              <w:widowControl/>
              <w:suppressAutoHyphens w:val="true"/>
              <w:spacing w:before="0" w:after="100"/>
              <w:contextualSpacing/>
              <w:jc w:val="left"/>
              <w:rPr>
                <w:rFonts w:ascii="Arial" w:hAnsi="Arial" w:cs="Arial"/>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327"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 fabrication des composants informatiques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cPr>
          <w:p>
            <w:pPr>
              <w:pStyle w:val="Normal"/>
              <w:widowControl/>
              <w:suppressAutoHyphens w:val="true"/>
              <w:spacing w:before="0" w:after="100"/>
              <w:contextualSpacing/>
              <w:jc w:val="left"/>
              <w:rPr>
                <w:rFonts w:ascii="Arial" w:hAnsi="Arial" w:cs="Arial"/>
                <w:szCs w:val="20"/>
              </w:rPr>
            </w:pPr>
            <w:r>
              <w:rPr>
                <w:rFonts w:cs="Arial" w:ascii="Arial" w:hAnsi="Arial"/>
                <w:szCs w:val="20"/>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81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d'assemblage des solutions d’impression</w:t>
            </w:r>
          </w:p>
          <w:p>
            <w:pPr>
              <w:pStyle w:val="Normal"/>
              <w:widowControl/>
              <w:suppressAutoHyphens w:val="true"/>
              <w:spacing w:before="0" w:after="100"/>
              <w:contextualSpacing/>
              <w:jc w:val="left"/>
              <w:rPr>
                <w:rFonts w:ascii="Arial" w:hAnsi="Arial" w:cs="Arial"/>
                <w:i/>
                <w:i/>
                <w:color w:val="auto"/>
                <w:szCs w:val="20"/>
              </w:rPr>
            </w:pPr>
            <w:r>
              <w:rPr>
                <w:rFonts w:cs="Arial" w:ascii="Arial" w:hAnsi="Arial"/>
                <w:i/>
                <w:color w:themeColor="text2" w:themeShade="80" w:val="auto"/>
                <w:szCs w:val="20"/>
              </w:rPr>
            </w:r>
          </w:p>
          <w:p>
            <w:pPr>
              <w:pStyle w:val="Normal"/>
              <w:widowControl/>
              <w:suppressAutoHyphens w:val="true"/>
              <w:spacing w:before="0" w:after="100"/>
              <w:contextualSpacing/>
              <w:jc w:val="left"/>
              <w:rPr>
                <w:rFonts w:ascii="Arial" w:hAnsi="Arial" w:cs="Arial"/>
                <w:i/>
                <w:i/>
                <w:color w:val="auto"/>
                <w:szCs w:val="20"/>
              </w:rPr>
            </w:pPr>
            <w:r>
              <w:rPr>
                <w:rFonts w:eastAsia="Calibri" w:cs="Arial" w:ascii="Arial" w:hAnsi="Arial"/>
                <w:i/>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 par famille de produits</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10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Lieux géographiques des autres stades de la chaîne de production</w:t>
            </w:r>
          </w:p>
          <w:p>
            <w:pPr>
              <w:pStyle w:val="Normal"/>
              <w:widowControl/>
              <w:suppressAutoHyphens w:val="true"/>
              <w:spacing w:before="0" w:after="100"/>
              <w:contextualSpacing/>
              <w:jc w:val="left"/>
              <w:rPr>
                <w:rFonts w:ascii="Arial" w:hAnsi="Arial" w:cs="Arial"/>
                <w:i/>
                <w:i/>
                <w:iCs/>
                <w:color w:val="auto"/>
                <w:szCs w:val="20"/>
              </w:rPr>
            </w:pPr>
            <w:r>
              <w:rPr>
                <w:rFonts w:cs="Arial" w:ascii="Arial" w:hAnsi="Arial"/>
                <w:i/>
                <w:iCs/>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Si plusieurs lieux géographiques, les préciser</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Lister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99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Nombre de fournisseurs pour une même chaîne d'approvisionnement (depuis la fabrication jusqu'à la livraison au titulaire)</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6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 1 (fournisseurs directs)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75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Qualité (nature des activités) et nombre des fournisseurs de rangs, 2, 3 etc…(fournisseurs de fournisseurs)</w:t>
            </w:r>
          </w:p>
        </w:tc>
        <w:tc>
          <w:tcPr>
            <w:tcW w:w="1583" w:type="dxa"/>
            <w:gridSpan w:val="2"/>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Préciser</w:t>
            </w:r>
          </w:p>
        </w:tc>
        <w:tc>
          <w:tcPr>
            <w:tcW w:w="2388" w:type="dxa"/>
            <w:tcBorders/>
          </w:tcPr>
          <w:p>
            <w:pPr>
              <w:pStyle w:val="Normal"/>
              <w:widowControl/>
              <w:suppressAutoHyphens w:val="true"/>
              <w:spacing w:before="0" w:after="100"/>
              <w:contextualSpacing/>
              <w:jc w:val="left"/>
              <w:rPr>
                <w:rFonts w:ascii="Arial" w:hAnsi="Arial" w:cs="Arial"/>
                <w:b/>
                <w:bCs/>
                <w:color w:val="auto"/>
                <w:szCs w:val="20"/>
              </w:rPr>
            </w:pPr>
            <w:r>
              <w:rPr/>
            </w:r>
          </w:p>
        </w:tc>
        <w:tc>
          <w:tcPr>
            <w:tcW w:w="1867" w:type="dxa"/>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1" w:type="dxa"/>
        <w:tblLayout w:type="fixed"/>
        <w:tblCellMar>
          <w:top w:w="0" w:type="dxa"/>
          <w:left w:w="108" w:type="dxa"/>
          <w:bottom w:w="0" w:type="dxa"/>
          <w:right w:w="108" w:type="dxa"/>
        </w:tblCellMar>
        <w:tblLook w:firstRow="1" w:noVBand="1" w:lastRow="0" w:firstColumn="1" w:lastColumn="0" w:noHBand="0" w:val="04a0"/>
      </w:tblPr>
      <w:tblGrid>
        <w:gridCol w:w="4109"/>
        <w:gridCol w:w="1583"/>
        <w:gridCol w:w="2388"/>
        <w:gridCol w:w="1867"/>
      </w:tblGrid>
      <w:tr>
        <w:trPr>
          <w:trHeight w:val="750" w:hRule="atLeast"/>
        </w:trPr>
        <w:tc>
          <w:tcPr>
            <w:tcW w:w="4109"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583"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88" w:type="dxa"/>
            <w:tcBorders>
              <w:top w:val="nil"/>
              <w:left w:val="nil"/>
              <w:right w:val="nil"/>
            </w:tcBorders>
          </w:tcPr>
          <w:p>
            <w:pPr>
              <w:pStyle w:val="Normal"/>
              <w:widowControl/>
              <w:suppressAutoHyphens w:val="true"/>
              <w:spacing w:before="0" w:after="100"/>
              <w:contextualSpacing/>
              <w:jc w:val="left"/>
              <w:rPr>
                <w:rFonts w:ascii="Arial" w:hAnsi="Arial" w:cs="Arial"/>
                <w:b/>
                <w:bCs/>
                <w:color w:val="auto"/>
                <w:szCs w:val="20"/>
              </w:rPr>
            </w:pPr>
            <w:r>
              <w:rPr>
                <w:rFonts w:cs="Arial" w:ascii="Arial" w:hAnsi="Arial"/>
                <w:b/>
                <w:bCs/>
                <w:color w:themeColor="text2" w:themeShade="80" w:val="auto"/>
                <w:szCs w:val="20"/>
              </w:rPr>
            </w:r>
          </w:p>
        </w:tc>
        <w:tc>
          <w:tcPr>
            <w:tcW w:w="1867"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r>
      <w:tr>
        <w:trPr>
          <w:trHeight w:val="645" w:hRule="atLeast"/>
        </w:trPr>
        <w:tc>
          <w:tcPr>
            <w:tcW w:w="9947" w:type="dxa"/>
            <w:gridSpan w:val="4"/>
            <w:tcBorders/>
          </w:tcPr>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Transparence et fiabilité des informations</w:t>
            </w:r>
          </w:p>
        </w:tc>
      </w:tr>
      <w:tr>
        <w:trPr>
          <w:trHeight w:val="645" w:hRule="atLeast"/>
        </w:trPr>
        <w:tc>
          <w:tcPr>
            <w:tcW w:w="4109"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583"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8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6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3570"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mis en place un système de traçabilité et de contrôle de sa chaîne d'approvisionnement et/ou  de celle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décrire le système de vérification: nature de l'organisme qui conduit les vérifications ou l'audit, nature des sites ciblés par la vérification, nature des éléments vérifiés, fréquence des vérifications, nature des documents produits après les vérifications, etc</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i/>
                <w:iCs/>
                <w:color w:themeColor="text2" w:themeShade="80" w:val="auto"/>
                <w:kern w:val="0"/>
                <w:szCs w:val="20"/>
                <w:lang w:val="fr-FR" w:eastAsia="en-US" w:bidi="ar-SA"/>
              </w:rPr>
              <w:t>Le candidat précisera en quoi le système de traçabilité mis en place peut-il être considéré comme transparent et indépendant</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2655" w:hRule="atLeast"/>
        </w:trPr>
        <w:tc>
          <w:tcPr>
            <w:tcW w:w="4109"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En cas de constatation de situations de violation des conventions fondamentales relatives aux droits humains au travail, le candidat engage-t-il un plan d'actions correctives?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le candidat peut-il donner des illustrations?</w:t>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démarche est-elle en cours de définition/validation?</w:t>
            </w:r>
          </w:p>
        </w:tc>
        <w:tc>
          <w:tcPr>
            <w:tcW w:w="1583"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Décrire</w:t>
            </w:r>
          </w:p>
        </w:tc>
        <w:tc>
          <w:tcPr>
            <w:tcW w:w="2388" w:type="dxa"/>
            <w:tcBorders/>
          </w:tcPr>
          <w:p>
            <w:pPr>
              <w:pStyle w:val="Normal"/>
              <w:widowControl/>
              <w:suppressAutoHyphens w:val="true"/>
              <w:spacing w:before="0" w:after="100"/>
              <w:contextualSpacing/>
              <w:jc w:val="left"/>
              <w:rPr>
                <w:rFonts w:ascii="Arial" w:hAnsi="Arial" w:cs="Arial"/>
                <w:b/>
                <w:bCs/>
                <w:szCs w:val="20"/>
              </w:rPr>
            </w:pPr>
            <w:r>
              <w:rPr/>
            </w:r>
          </w:p>
        </w:tc>
        <w:tc>
          <w:tcPr>
            <w:tcW w:w="1867"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r>
        <w:br w:type="page"/>
      </w:r>
    </w:p>
    <w:tbl>
      <w:tblPr>
        <w:tblStyle w:val="Grilledutableau"/>
        <w:tblW w:w="9948" w:type="dxa"/>
        <w:jc w:val="left"/>
        <w:tblInd w:w="-436" w:type="dxa"/>
        <w:tblLayout w:type="fixed"/>
        <w:tblCellMar>
          <w:top w:w="0" w:type="dxa"/>
          <w:left w:w="108" w:type="dxa"/>
          <w:bottom w:w="0" w:type="dxa"/>
          <w:right w:w="108" w:type="dxa"/>
        </w:tblCellMar>
        <w:tblLook w:firstRow="1" w:noVBand="1" w:lastRow="0" w:firstColumn="1" w:lastColumn="0" w:noHBand="0" w:val="04a0"/>
      </w:tblPr>
      <w:tblGrid>
        <w:gridCol w:w="4077"/>
        <w:gridCol w:w="1650"/>
        <w:gridCol w:w="2368"/>
        <w:gridCol w:w="1852"/>
      </w:tblGrid>
      <w:tr>
        <w:trPr>
          <w:trHeight w:val="697" w:hRule="atLeast"/>
        </w:trPr>
        <w:tc>
          <w:tcPr>
            <w:tcW w:w="4077" w:type="dxa"/>
            <w:tcBorders>
              <w:top w:val="nil"/>
              <w:left w:val="nil"/>
              <w:right w:val="nil"/>
            </w:tcBorders>
          </w:tcPr>
          <w:p>
            <w:pPr>
              <w:pStyle w:val="Normal"/>
              <w:pageBreakBefore/>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1650" w:type="dxa"/>
            <w:tcBorders>
              <w:top w:val="nil"/>
              <w:left w:val="nil"/>
              <w:right w:val="nil"/>
            </w:tcBorders>
          </w:tcPr>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tc>
        <w:tc>
          <w:tcPr>
            <w:tcW w:w="2368"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c>
          <w:tcPr>
            <w:tcW w:w="1852" w:type="dxa"/>
            <w:tcBorders>
              <w:top w:val="nil"/>
              <w:left w:val="nil"/>
              <w:right w:val="nil"/>
            </w:tcBorders>
          </w:tcPr>
          <w:p>
            <w:pPr>
              <w:pStyle w:val="Normal"/>
              <w:widowControl/>
              <w:suppressAutoHyphens w:val="true"/>
              <w:spacing w:before="0" w:after="100"/>
              <w:contextualSpacing/>
              <w:jc w:val="left"/>
              <w:rPr>
                <w:rFonts w:ascii="Arial" w:hAnsi="Arial" w:cs="Arial"/>
                <w:b/>
                <w:bCs/>
                <w:szCs w:val="20"/>
              </w:rPr>
            </w:pPr>
            <w:r>
              <w:rPr>
                <w:rFonts w:cs="Arial" w:ascii="Arial" w:hAnsi="Arial"/>
                <w:b/>
                <w:bCs/>
                <w:szCs w:val="20"/>
              </w:rPr>
            </w:r>
          </w:p>
        </w:tc>
      </w:tr>
      <w:tr>
        <w:trPr>
          <w:trHeight w:val="615" w:hRule="atLeast"/>
        </w:trPr>
        <w:tc>
          <w:tcPr>
            <w:tcW w:w="9947" w:type="dxa"/>
            <w:gridSpan w:val="4"/>
            <w:tcBorders/>
          </w:tcPr>
          <w:p>
            <w:pPr>
              <w:pStyle w:val="Normal"/>
              <w:widowControl/>
              <w:suppressAutoHyphens w:val="true"/>
              <w:spacing w:before="0" w:after="100"/>
              <w:contextualSpacing/>
              <w:jc w:val="center"/>
              <w:rPr>
                <w:rFonts w:ascii="Arial" w:hAnsi="Arial" w:cs="Arial"/>
                <w:b/>
                <w:bCs/>
                <w:color w:val="auto"/>
                <w:szCs w:val="20"/>
              </w:rPr>
            </w:pPr>
            <w:r>
              <w:rPr>
                <w:rFonts w:cs="Arial" w:ascii="Arial" w:hAnsi="Arial"/>
                <w:b/>
                <w:bCs/>
                <w:color w:themeColor="text2" w:themeShade="80" w:val="auto"/>
                <w:szCs w:val="20"/>
              </w:rPr>
            </w:r>
          </w:p>
          <w:p>
            <w:pPr>
              <w:pStyle w:val="Normal"/>
              <w:widowControl/>
              <w:suppressAutoHyphens w:val="true"/>
              <w:spacing w:before="0" w:after="100"/>
              <w:contextualSpacing/>
              <w:jc w:val="center"/>
              <w:rPr>
                <w:rFonts w:ascii="Arial" w:hAnsi="Arial" w:cs="Arial"/>
                <w:b/>
                <w:bCs/>
                <w:szCs w:val="20"/>
              </w:rPr>
            </w:pPr>
            <w:r>
              <w:rPr>
                <w:rFonts w:eastAsia="Calibri" w:cs="Arial" w:ascii="Arial" w:hAnsi="Arial"/>
                <w:b/>
                <w:bCs/>
                <w:color w:themeColor="text2" w:themeShade="80" w:val="auto"/>
                <w:kern w:val="0"/>
                <w:szCs w:val="20"/>
                <w:lang w:val="fr-FR" w:eastAsia="en-US" w:bidi="ar-SA"/>
              </w:rPr>
              <w:t>Formalisation d'une démarche de responsabilité sociale</w:t>
            </w:r>
          </w:p>
        </w:tc>
      </w:tr>
      <w:tr>
        <w:trPr>
          <w:trHeight w:val="615" w:hRule="atLeast"/>
        </w:trPr>
        <w:tc>
          <w:tcPr>
            <w:tcW w:w="4077"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Thème</w:t>
            </w:r>
          </w:p>
        </w:tc>
        <w:tc>
          <w:tcPr>
            <w:tcW w:w="1650"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Type de réponse attendue</w:t>
            </w:r>
          </w:p>
        </w:tc>
        <w:tc>
          <w:tcPr>
            <w:tcW w:w="2368"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Réponse du candidat</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i/>
                <w:color w:themeColor="text2" w:themeShade="80" w:val="auto"/>
                <w:kern w:val="0"/>
                <w:szCs w:val="20"/>
                <w:lang w:val="fr-FR" w:eastAsia="en-US" w:bidi="ar-SA"/>
              </w:rPr>
              <w:t>Si l’information n’est pas maîtrisée, merci de le préciser</w:t>
            </w:r>
          </w:p>
        </w:tc>
        <w:tc>
          <w:tcPr>
            <w:tcW w:w="1852" w:type="dxa"/>
            <w:tcBorders/>
          </w:tcPr>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Moyen de preuve associé (Oui/Non</w:t>
            </w:r>
          </w:p>
          <w:p>
            <w:pPr>
              <w:pStyle w:val="Normal"/>
              <w:widowControl/>
              <w:suppressAutoHyphens w:val="true"/>
              <w:spacing w:before="0" w:after="100"/>
              <w:contextualSpacing/>
              <w:jc w:val="center"/>
              <w:rPr>
                <w:rFonts w:ascii="Arial" w:hAnsi="Arial" w:cs="Arial"/>
                <w:b/>
                <w:bCs/>
                <w:color w:val="auto"/>
                <w:szCs w:val="20"/>
              </w:rPr>
            </w:pPr>
            <w:r>
              <w:rPr>
                <w:rFonts w:eastAsia="Calibri" w:cs="Arial" w:ascii="Arial" w:hAnsi="Arial"/>
                <w:b/>
                <w:bCs/>
                <w:color w:themeColor="text2" w:themeShade="80" w:val="auto"/>
                <w:kern w:val="0"/>
                <w:szCs w:val="20"/>
                <w:lang w:val="fr-FR" w:eastAsia="en-US" w:bidi="ar-SA"/>
              </w:rPr>
              <w:t>Si oui préciser)</w:t>
            </w:r>
          </w:p>
        </w:tc>
      </w:tr>
      <w:tr>
        <w:trPr>
          <w:trHeight w:val="129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soumis aux obligations de la loi relative au devoir de vigilance des sociétés mères et des entreprises donneuses d'ordre (loi n°2017-399 du 27 mars 2017)</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oui/non</w:t>
              <w:br/>
              <w:t>si oui, décrire actions entreprises et communiquer le plan de vigilance adopté (ou un lien de téléchargement) ainsi que le dernier rapport annuel de suivi</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102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est-il membre d'une initiative multipartite ou d'une organisation engagée en faveur du respect des droits humains fondamentaux au travail?</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(mentionner l’initiative et fournir le justificatif d’adhésion)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r>
        <w:trPr>
          <w:trHeight w:val="3000" w:hRule="atLeast"/>
        </w:trPr>
        <w:tc>
          <w:tcPr>
            <w:tcW w:w="4077"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Le candidat a-t-il défini et formalisé une stratégie en matière de responsabilité sociale et sociétale en direction de ses fournisseurs?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pStyle w:val="Normal"/>
              <w:widowControl/>
              <w:suppressAutoHyphens w:val="true"/>
              <w:spacing w:before="0" w:after="100"/>
              <w:contextualSpacing/>
              <w:jc w:val="left"/>
              <w:rPr>
                <w:rFonts w:ascii="Arial" w:hAnsi="Arial" w:cs="Arial"/>
                <w:color w:val="auto"/>
                <w:szCs w:val="20"/>
              </w:rPr>
            </w:pPr>
            <w:r>
              <w:rPr>
                <w:rFonts w:cs="Arial" w:ascii="Arial" w:hAnsi="Arial"/>
                <w:color w:themeColor="text2" w:themeShade="80" w:val="auto"/>
                <w:szCs w:val="20"/>
              </w:rPr>
            </w:r>
          </w:p>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Si non, cette stratégie est-elle en cours de définition/validation?</w:t>
            </w:r>
          </w:p>
        </w:tc>
        <w:tc>
          <w:tcPr>
            <w:tcW w:w="1650" w:type="dxa"/>
            <w:tcBorders/>
          </w:tcPr>
          <w:p>
            <w:pPr>
              <w:pStyle w:val="Normal"/>
              <w:widowControl/>
              <w:suppressAutoHyphens w:val="true"/>
              <w:spacing w:before="0" w:after="100"/>
              <w:contextualSpacing/>
              <w:jc w:val="left"/>
              <w:rPr>
                <w:rFonts w:ascii="Arial" w:hAnsi="Arial" w:cs="Arial"/>
                <w:color w:val="auto"/>
                <w:szCs w:val="20"/>
              </w:rPr>
            </w:pPr>
            <w:r>
              <w:rPr>
                <w:rFonts w:eastAsia="Calibri" w:cs="Arial" w:ascii="Arial" w:hAnsi="Arial"/>
                <w:color w:themeColor="text2" w:themeShade="80" w:val="auto"/>
                <w:kern w:val="0"/>
                <w:szCs w:val="20"/>
                <w:lang w:val="fr-FR" w:eastAsia="en-US" w:bidi="ar-SA"/>
              </w:rPr>
              <w:t>oui  (fournir le justificatif) / non</w:t>
            </w:r>
          </w:p>
        </w:tc>
        <w:tc>
          <w:tcPr>
            <w:tcW w:w="2368" w:type="dxa"/>
            <w:tcBorders/>
          </w:tcPr>
          <w:p>
            <w:pPr>
              <w:pStyle w:val="Normal"/>
              <w:widowControl/>
              <w:suppressAutoHyphens w:val="true"/>
              <w:spacing w:before="0" w:after="100"/>
              <w:contextualSpacing/>
              <w:jc w:val="left"/>
              <w:rPr>
                <w:rFonts w:ascii="Arial" w:hAnsi="Arial" w:cs="Arial"/>
                <w:b/>
                <w:bCs/>
                <w:szCs w:val="20"/>
              </w:rPr>
            </w:pPr>
            <w:r>
              <w:rPr/>
            </w:r>
          </w:p>
        </w:tc>
        <w:tc>
          <w:tcPr>
            <w:tcW w:w="1852" w:type="dxa"/>
            <w:tcBorders/>
          </w:tcPr>
          <w:p>
            <w:pPr>
              <w:pStyle w:val="Normal"/>
              <w:widowControl/>
              <w:suppressAutoHyphens w:val="true"/>
              <w:spacing w:before="0" w:after="100"/>
              <w:contextualSpacing/>
              <w:jc w:val="left"/>
              <w:rPr>
                <w:rFonts w:ascii="Arial" w:hAnsi="Arial" w:cs="Arial"/>
                <w:b/>
                <w:bCs/>
                <w:szCs w:val="20"/>
              </w:rPr>
            </w:pPr>
            <w:r>
              <w:rPr/>
            </w:r>
          </w:p>
        </w:tc>
      </w:tr>
    </w:tbl>
    <w:p>
      <w:pPr>
        <w:pStyle w:val="Normal"/>
        <w:rPr>
          <w:rFonts w:ascii="Arial" w:hAnsi="Arial" w:cs="Arial"/>
          <w:szCs w:val="20"/>
        </w:rPr>
      </w:pPr>
      <w:r>
        <w:rPr>
          <w:rFonts w:cs="Arial" w:ascii="Arial" w:hAnsi="Arial"/>
          <w:szCs w:val="20"/>
        </w:rPr>
      </w:r>
    </w:p>
    <w:p>
      <w:pPr>
        <w:pStyle w:val="EndnoteText"/>
        <w:rPr>
          <w:rFonts w:ascii="Arial" w:hAnsi="Arial" w:cs="Arial"/>
          <w:color w:val="auto"/>
        </w:rPr>
      </w:pPr>
      <w:r>
        <w:rPr>
          <w:rFonts w:cs="Arial" w:ascii="Arial" w:hAnsi="Arial"/>
          <w:color w:themeColor="text2" w:themeShade="80" w:val="auto"/>
        </w:rPr>
      </w:r>
    </w:p>
    <w:p>
      <w:pPr>
        <w:pStyle w:val="Normal"/>
        <w:spacing w:before="0" w:after="100"/>
        <w:contextualSpacing/>
        <w:rPr>
          <w:rFonts w:ascii="Arial" w:hAnsi="Arial" w:cs="Arial"/>
          <w:szCs w:val="20"/>
        </w:rPr>
      </w:pPr>
      <w:r>
        <w:rPr>
          <w:rFonts w:cs="Arial" w:ascii="Arial" w:hAnsi="Arial"/>
          <w:szCs w:val="20"/>
        </w:rPr>
      </w:r>
    </w:p>
    <w:sectPr>
      <w:headerReference w:type="even" r:id="rId3"/>
      <w:headerReference w:type="default" r:id="rId4"/>
      <w:headerReference w:type="first" r:id="rId5"/>
      <w:footerReference w:type="even" r:id="rId6"/>
      <w:footerReference w:type="default" r:id="rId7"/>
      <w:footerReference w:type="first" r:id="rId8"/>
      <w:type w:val="nextPage"/>
      <w:pgSz w:w="11906" w:h="16838"/>
      <w:pgMar w:left="1417" w:right="1417" w:gutter="0" w:header="708" w:top="1276" w:footer="708" w:bottom="1417"/>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Segoe UI">
    <w:charset w:val="01"/>
    <w:family w:val="auto"/>
    <w:pitch w:val="default"/>
  </w:font>
  <w:font w:name="Liberation Sans">
    <w:altName w:val="Arial"/>
    <w:charset w:val="01"/>
    <w:family w:val="auto"/>
    <w:pitch w:val="default"/>
  </w:font>
  <w:font w:name="Times New Roman">
    <w:charset w:val="01"/>
    <w:family w:val="auto"/>
    <w:pitch w:val="default"/>
  </w:font>
  <w:font w:name="Arial">
    <w:charset w:val="01"/>
    <w:family w:val="auto"/>
    <w:pitch w:val="default"/>
  </w:font>
  <w:font w:name="MS Gothic">
    <w:charset w:val="01"/>
    <w:family w:val="auto"/>
    <w:pitch w:val="default"/>
  </w:font>
  <w:font w:name="Segoe UI Symbol">
    <w:charset w:val="01"/>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Cs w:val="20"/>
        <w:lang w:eastAsia="fr-FR"/>
      </w:rPr>
      <w:t>PFRA-2025-PFRA-SOLIMPROD2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2_Annexe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Fonts w:eastAsia="Times New Roman" w:cs="Arial" w:ascii="Arial" w:hAnsi="Arial"/>
        <w:b/>
        <w:bCs/>
        <w:szCs w:val="20"/>
        <w:lang w:eastAsia="fr-FR"/>
      </w:rPr>
      <w:t>PFRA-2025-PFRA-SOLIMPROD2</w:t>
    </w:r>
    <w:r>
      <w:rPr>
        <w:rFonts w:cs="Arial" w:ascii="Arial" w:hAnsi="Arial"/>
      </w:rPr>
      <w:tab/>
    </w:r>
    <w:r>
      <w:rPr>
        <w:rFonts w:cs="Arial" w:ascii="Arial" w:hAnsi="Arial"/>
      </w:rPr>
      <w:fldChar w:fldCharType="begin"/>
    </w:r>
    <w:r>
      <w:rPr>
        <w:rFonts w:cs="Arial" w:ascii="Arial" w:hAnsi="Arial"/>
      </w:rPr>
      <w:instrText xml:space="preserve"> FILENAME </w:instrText>
    </w:r>
    <w:r>
      <w:rPr>
        <w:rFonts w:cs="Arial" w:ascii="Arial" w:hAnsi="Arial"/>
      </w:rPr>
      <w:fldChar w:fldCharType="separate"/>
    </w:r>
    <w:r>
      <w:rPr>
        <w:rFonts w:cs="Arial" w:ascii="Arial" w:hAnsi="Arial"/>
      </w:rPr>
      <w:t>SolimProd 2_PFRA ARA_Lot 2_Annexe AE 3_TracabilitéSociale_vf.docx</w:t>
    </w:r>
    <w:r>
      <w:rPr>
        <w:rFonts w:cs="Arial" w:ascii="Arial" w:hAnsi="Arial"/>
      </w:rPr>
      <w:fldChar w:fldCharType="end"/>
    </w:r>
    <w:r>
      <w:rPr>
        <w:rFonts w:cs="Arial" w:ascii="Arial" w:hAnsi="Arial"/>
      </w:rPr>
      <w:tab/>
    </w:r>
    <w:r>
      <w:rPr>
        <w:rFonts w:cs="Arial" w:ascii="Arial" w:hAnsi="Arial"/>
      </w:rPr>
      <w:fldChar w:fldCharType="begin"/>
    </w:r>
    <w:r>
      <w:rPr>
        <w:rFonts w:cs="Arial" w:ascii="Arial" w:hAnsi="Arial"/>
      </w:rPr>
      <w:instrText xml:space="preserve"> PAGE </w:instrText>
    </w:r>
    <w:r>
      <w:rPr>
        <w:rFonts w:cs="Arial" w:ascii="Arial" w:hAnsi="Arial"/>
      </w:rPr>
      <w:fldChar w:fldCharType="separate"/>
    </w:r>
    <w:r>
      <w:rPr>
        <w:rFonts w:cs="Arial" w:ascii="Arial" w:hAnsi="Arial"/>
      </w:rPr>
      <w:t>5</w:t>
    </w:r>
    <w:r>
      <w:rPr>
        <w:rFonts w:cs="Arial" w:ascii="Arial" w:hAnsi="Arial"/>
      </w:rPr>
      <w:fldChar w:fldCharType="end"/>
    </w:r>
    <w:r>
      <w:rPr>
        <w:rFonts w:cs="Arial" w:ascii="Arial" w:hAnsi="Arial"/>
      </w:rPr>
      <w:t>/</w:t>
    </w:r>
    <w:r>
      <w:rPr>
        <w:rFonts w:cs="Arial" w:ascii="Arial" w:hAnsi="Arial"/>
      </w:rPr>
      <w:fldChar w:fldCharType="begin"/>
    </w:r>
    <w:r>
      <w:rPr>
        <w:rFonts w:cs="Arial" w:ascii="Arial" w:hAnsi="Arial"/>
      </w:rPr>
      <w:instrText xml:space="preserve"> NUMPAGES </w:instrText>
    </w:r>
    <w:r>
      <w:rPr>
        <w:rFonts w:cs="Arial" w:ascii="Arial" w:hAnsi="Arial"/>
      </w:rPr>
      <w:fldChar w:fldCharType="separate"/>
    </w:r>
    <w:r>
      <w:rPr>
        <w:rFonts w:cs="Arial" w:ascii="Arial" w:hAnsi="Arial"/>
      </w:rPr>
      <w:t>5</w:t>
    </w:r>
    <w:r>
      <w:rPr>
        <w:rFonts w:cs="Arial" w:ascii="Arial" w:hAnsi="Arial"/>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r>
  </w:p>
  <w:p>
    <w:pPr>
      <w:pStyle w:val="BodyText"/>
      <w:rPr/>
    </w:pPr>
    <w:r>
      <w:rPr/>
    </w:r>
  </w:p>
  <w:p>
    <w:pPr>
      <w:pStyle w:val="BodyText"/>
      <w:rPr/>
    </w:pPr>
    <w:r>
      <w:rPr/>
      <w:drawing>
        <wp:anchor behindDoc="1" distT="0" distB="0" distL="0" distR="0" simplePos="0" locked="0" layoutInCell="0" allowOverlap="1" relativeHeight="6">
          <wp:simplePos x="0" y="0"/>
          <wp:positionH relativeFrom="column">
            <wp:posOffset>-495300</wp:posOffset>
          </wp:positionH>
          <wp:positionV relativeFrom="paragraph">
            <wp:posOffset>-140335</wp:posOffset>
          </wp:positionV>
          <wp:extent cx="836930" cy="852805"/>
          <wp:effectExtent l="0" t="0" r="0" b="0"/>
          <wp:wrapSquare wrapText="largest"/>
          <wp:docPr id="1"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Normal"/>
      <w:tabs>
        <w:tab w:val="clear" w:pos="708"/>
        <w:tab w:val="right" w:pos="9026" w:leader="none"/>
      </w:tabs>
      <w:jc w:val="right"/>
      <w:rPr>
        <w:b/>
        <w:bCs/>
        <w:sz w:val="24"/>
        <w:szCs w:val="24"/>
      </w:rPr>
    </w:pPr>
    <w:r>
      <mc:AlternateContent>
        <mc:Choice Requires="wps">
          <w:drawing>
            <wp:anchor behindDoc="1" distT="0" distB="0" distL="112395" distR="114935" simplePos="0" locked="0" layoutInCell="0" allowOverlap="1" relativeHeight="11">
              <wp:simplePos x="0" y="0"/>
              <wp:positionH relativeFrom="column">
                <wp:posOffset>4328160</wp:posOffset>
              </wp:positionH>
              <wp:positionV relativeFrom="paragraph">
                <wp:posOffset>104140</wp:posOffset>
              </wp:positionV>
              <wp:extent cx="2439035" cy="441960"/>
              <wp:effectExtent l="0" t="0" r="0" b="0"/>
              <wp:wrapTopAndBottom/>
              <wp:docPr id="2"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b/>
        <w:bCs/>
        <w:sz w:val="24"/>
        <w:szCs w:val="24"/>
      </w:rPr>
    </w:pPr>
    <w:r>
      <w:rPr>
        <w:rFonts w:eastAsia="Andale Sans UI;Arial Unicode MS" w:cs="Marianne"/>
        <w:b/>
        <w:bCs/>
        <w:color w:val="auto"/>
        <w:kern w:val="2"/>
        <w:sz w:val="26"/>
        <w:szCs w:val="26"/>
        <w:lang w:val="fr-FR" w:eastAsia="ja-JP" w:bidi="fa-IR"/>
      </w:rPr>
      <w:t>pour les affaires régionale</w:t>
    </w:r>
    <w:r>
      <w:rPr>
        <w:rFonts w:eastAsia="Andale Sans UI;Arial Unicode MS" w:cs="Marianne"/>
        <w:b/>
        <w:bCs/>
        <w:color w:val="auto"/>
        <w:kern w:val="2"/>
        <w:sz w:val="26"/>
        <w:szCs w:val="26"/>
        <w:lang w:val="fr-FR" w:eastAsia="ja-JP" w:bidi="fa-IR"/>
      </w:rPr>
      <w:t>s</w:t>
    </w:r>
  </w:p>
  <w:p>
    <w:pPr>
      <w:pStyle w:val="Header"/>
      <w:rPr/>
    </w:pPr>
    <w:r>
      <w:rPr/>
      <w:fldChar w:fldCharType="begin"/>
    </w:r>
    <w:r>
      <w:rPr/>
      <w:instrText xml:space="preserve"> DOCPROPERTY "urn:bails:IntellectualProperty:Marking:document-header"</w:instrText>
    </w:r>
    <w:r>
      <w:rPr/>
      <w:fldChar w:fldCharType="separate"/>
    </w:r>
    <w:r>
      <w:rPr/>
    </w:r>
    <w:r>
      <w:rPr/>
      <w:fldChar w:fldCharType="end"/>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r>
  </w:p>
  <w:p>
    <w:pPr>
      <w:pStyle w:val="BodyText"/>
      <w:rPr/>
    </w:pPr>
    <w:r>
      <w:rPr/>
    </w:r>
  </w:p>
  <w:p>
    <w:pPr>
      <w:pStyle w:val="BodyText"/>
      <w:rPr/>
    </w:pPr>
    <w:r>
      <w:rPr/>
      <w:drawing>
        <wp:anchor behindDoc="1" distT="0" distB="0" distL="0" distR="0" simplePos="0" locked="0" layoutInCell="0" allowOverlap="1" relativeHeight="6">
          <wp:simplePos x="0" y="0"/>
          <wp:positionH relativeFrom="column">
            <wp:posOffset>-495300</wp:posOffset>
          </wp:positionH>
          <wp:positionV relativeFrom="paragraph">
            <wp:posOffset>-140335</wp:posOffset>
          </wp:positionV>
          <wp:extent cx="836930" cy="852805"/>
          <wp:effectExtent l="0" t="0" r="0" b="0"/>
          <wp:wrapSquare wrapText="largest"/>
          <wp:docPr id="3"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Normal"/>
      <w:tabs>
        <w:tab w:val="clear" w:pos="708"/>
        <w:tab w:val="right" w:pos="9026" w:leader="none"/>
      </w:tabs>
      <w:jc w:val="right"/>
      <w:rPr>
        <w:b/>
        <w:bCs/>
        <w:sz w:val="24"/>
        <w:szCs w:val="24"/>
      </w:rPr>
    </w:pPr>
    <w:r>
      <mc:AlternateContent>
        <mc:Choice Requires="wps">
          <w:drawing>
            <wp:anchor behindDoc="1" distT="0" distB="0" distL="112395" distR="114935" simplePos="0" locked="0" layoutInCell="0" allowOverlap="1" relativeHeight="11">
              <wp:simplePos x="0" y="0"/>
              <wp:positionH relativeFrom="column">
                <wp:posOffset>4328160</wp:posOffset>
              </wp:positionH>
              <wp:positionV relativeFrom="paragraph">
                <wp:posOffset>104140</wp:posOffset>
              </wp:positionV>
              <wp:extent cx="2439035" cy="441960"/>
              <wp:effectExtent l="0" t="0" r="0" b="0"/>
              <wp:wrapTopAndBottom/>
              <wp:docPr id="4"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contextualSpacing w:val="false"/>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sz w:val="24"/>
        <w:szCs w:val="24"/>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b/>
        <w:bCs/>
        <w:sz w:val="24"/>
        <w:szCs w:val="24"/>
      </w:rPr>
    </w:pPr>
    <w:r>
      <w:rPr>
        <w:rFonts w:eastAsia="Andale Sans UI;Arial Unicode MS" w:cs="Marianne"/>
        <w:b/>
        <w:bCs/>
        <w:color w:val="auto"/>
        <w:kern w:val="2"/>
        <w:sz w:val="26"/>
        <w:szCs w:val="26"/>
        <w:lang w:val="fr-FR" w:eastAsia="ja-JP" w:bidi="fa-IR"/>
      </w:rPr>
      <w:t>pour les affaires régionale</w:t>
    </w:r>
    <w:r>
      <w:rPr>
        <w:rFonts w:eastAsia="Andale Sans UI;Arial Unicode MS" w:cs="Marianne"/>
        <w:b/>
        <w:bCs/>
        <w:color w:val="auto"/>
        <w:kern w:val="2"/>
        <w:sz w:val="26"/>
        <w:szCs w:val="26"/>
        <w:lang w:val="fr-FR" w:eastAsia="ja-JP" w:bidi="fa-IR"/>
      </w:rPr>
      <w:t>s</w:t>
    </w:r>
  </w:p>
  <w:p>
    <w:pPr>
      <w:pStyle w:val="Header"/>
      <w:rPr/>
    </w:pPr>
    <w:r>
      <w:rPr/>
      <w:fldChar w:fldCharType="begin"/>
    </w:r>
    <w:r>
      <w:rPr/>
      <w:instrText xml:space="preserve"> DOCPROPERTY "urn:bails:IntellectualProperty:Marking:document-header"</w:instrText>
    </w:r>
    <w:r>
      <w:rPr/>
      <w:fldChar w:fldCharType="separate"/>
    </w:r>
    <w:r>
      <w:rPr/>
    </w:r>
    <w:r>
      <w:rPr/>
      <w:fldChar w:fldCharType="end"/>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40" w:before="0" w:after="100"/>
      <w:contextualSpacing/>
      <w:jc w:val="both"/>
    </w:pPr>
    <w:rPr>
      <w:rFonts w:ascii="Marianne" w:hAnsi="Marianne" w:eastAsia="Calibri" w:cs=""/>
      <w:color w:themeColor="text2" w:themeShade="80" w:val="222A35"/>
      <w:kern w:val="0"/>
      <w:sz w:val="20"/>
      <w:szCs w:val="22"/>
      <w:lang w:val="fr-FR" w:eastAsia="en-US" w:bidi="ar-SA"/>
    </w:rPr>
  </w:style>
  <w:style w:type="character" w:styleId="DefaultParagraphFont" w:default="1">
    <w:name w:val="Default Paragraph Font"/>
    <w:uiPriority w:val="1"/>
    <w:semiHidden/>
    <w:unhideWhenUsed/>
    <w:qFormat/>
    <w:rPr/>
  </w:style>
  <w:style w:type="character" w:styleId="NotedefinCar" w:customStyle="1">
    <w:name w:val="Note de fin Car"/>
    <w:basedOn w:val="DefaultParagraphFont"/>
    <w:uiPriority w:val="99"/>
    <w:semiHidden/>
    <w:qFormat/>
    <w:rPr>
      <w:rFonts w:ascii="Marianne" w:hAnsi="Marianne"/>
      <w:color w:themeColor="text2" w:themeShade="80" w:val="222A35"/>
      <w:sz w:val="20"/>
      <w:szCs w:val="20"/>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semiHidden/>
    <w:qFormat/>
    <w:rPr>
      <w:rFonts w:ascii="Marianne" w:hAnsi="Marianne"/>
      <w:color w:themeColor="text2" w:themeShade="80" w:val="222A35"/>
      <w:sz w:val="20"/>
      <w:szCs w:val="20"/>
    </w:rPr>
  </w:style>
  <w:style w:type="character" w:styleId="ObjetducommentaireCar" w:customStyle="1">
    <w:name w:val="Objet du commentaire Car"/>
    <w:basedOn w:val="CommentaireCar"/>
    <w:link w:val="annotationsubject"/>
    <w:uiPriority w:val="99"/>
    <w:semiHidden/>
    <w:qFormat/>
    <w:rPr>
      <w:rFonts w:ascii="Marianne" w:hAnsi="Marianne"/>
      <w:b/>
      <w:bCs/>
      <w:color w:themeColor="text2" w:themeShade="80" w:val="222A35"/>
      <w:sz w:val="20"/>
      <w:szCs w:val="20"/>
    </w:rPr>
  </w:style>
  <w:style w:type="character" w:styleId="TextedebullesCar" w:customStyle="1">
    <w:name w:val="Texte de bulles Car"/>
    <w:basedOn w:val="DefaultParagraphFont"/>
    <w:link w:val="BalloonText"/>
    <w:uiPriority w:val="99"/>
    <w:semiHidden/>
    <w:qFormat/>
    <w:rPr>
      <w:rFonts w:ascii="Segoe UI" w:hAnsi="Segoe UI" w:cs="Segoe UI"/>
      <w:color w:themeColor="text2" w:themeShade="80" w:val="222A35"/>
      <w:sz w:val="18"/>
      <w:szCs w:val="18"/>
    </w:rPr>
  </w:style>
  <w:style w:type="character" w:styleId="En-tteCar" w:customStyle="1">
    <w:name w:val="En-tête Car"/>
    <w:basedOn w:val="DefaultParagraphFont"/>
    <w:uiPriority w:val="99"/>
    <w:qFormat/>
    <w:rPr>
      <w:rFonts w:ascii="Marianne" w:hAnsi="Marianne"/>
      <w:color w:themeColor="text2" w:themeShade="80" w:val="222A35"/>
      <w:sz w:val="20"/>
    </w:rPr>
  </w:style>
  <w:style w:type="character" w:styleId="PieddepageCar" w:customStyle="1">
    <w:name w:val="Pied de page Car"/>
    <w:basedOn w:val="DefaultParagraphFont"/>
    <w:uiPriority w:val="99"/>
    <w:qFormat/>
    <w:rPr>
      <w:rFonts w:ascii="Marianne" w:hAnsi="Marianne"/>
      <w:color w:themeColor="text2" w:themeShade="80" w:val="222A35"/>
      <w:sz w:val="20"/>
    </w:rPr>
  </w:style>
  <w:style w:type="character" w:styleId="CorpsdetexteCar" w:customStyle="1">
    <w:name w:val="Corps de texte Car"/>
    <w:basedOn w:val="DefaultParagraphFont"/>
    <w:qFormat/>
    <w:rPr>
      <w:rFonts w:ascii="Liberation Sans" w:hAnsi="Liberation Sans" w:eastAsia="SimSun" w:cs="Mangal"/>
      <w:kern w:val="2"/>
      <w:sz w:val="20"/>
      <w:szCs w:val="24"/>
      <w:lang w:eastAsia="zh-CN" w:bidi="hi-IN"/>
    </w:rPr>
  </w:style>
  <w:style w:type="character" w:styleId="InternetLink">
    <w:name w:val="Internet Link"/>
    <w:basedOn w:val="DefaultParagraphFont"/>
    <w:uiPriority w:val="99"/>
    <w:unhideWhenUsed/>
    <w:qFormat/>
    <w:rPr>
      <w:color w:themeColor="hyperlink" w:val="0563C1"/>
      <w:u w:val="single"/>
    </w:rPr>
  </w:style>
  <w:style w:type="character" w:styleId="FollowedHyperlink">
    <w:name w:val="FollowedHyperlink"/>
    <w:basedOn w:val="DefaultParagraphFont"/>
    <w:uiPriority w:val="99"/>
    <w:semiHidden/>
    <w:unhideWhenUsed/>
    <w:rPr>
      <w:color w:themeColor="followedHyperlink" w:val="954F72"/>
      <w:u w:val="single"/>
    </w:rPr>
  </w:style>
  <w:style w:type="character" w:styleId="StandardCar" w:customStyle="1">
    <w:name w:val="Standard Car"/>
    <w:basedOn w:val="DefaultParagraphFont"/>
    <w:link w:val="Standard"/>
    <w:qFormat/>
    <w:rPr>
      <w:rFonts w:ascii="Times New Roman" w:hAnsi="Times New Roman" w:eastAsia="Times New Roman" w:cs="Times New Roman"/>
      <w:sz w:val="24"/>
      <w:szCs w:val="24"/>
      <w:lang w:eastAsia="zh-CN"/>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contextualSpacing w:val="false"/>
    </w:pPr>
    <w:rPr>
      <w:rFonts w:ascii="Marianne" w:hAnsi="Marianne" w:eastAsia="Microsoft YaHei" w:cs="Arial"/>
      <w:sz w:val="28"/>
      <w:szCs w:val="28"/>
    </w:rPr>
  </w:style>
  <w:style w:type="paragraph" w:styleId="BodyText">
    <w:name w:val="Body Text"/>
    <w:basedOn w:val="Normal"/>
    <w:link w:val="CorpsdetexteCar"/>
    <w:pPr>
      <w:widowControl w:val="false"/>
      <w:suppressAutoHyphens w:val="true"/>
      <w:spacing w:before="0" w:after="120"/>
      <w:contextualSpacing w:val="false"/>
      <w:jc w:val="left"/>
    </w:pPr>
    <w:rPr>
      <w:rFonts w:ascii="Liberation Sans" w:hAnsi="Liberation Sans" w:eastAsia="SimSun" w:cs="Mangal"/>
      <w:color w:themeColor="text2" w:themeShade="80" w:val="auto"/>
      <w:kern w:val="2"/>
      <w:szCs w:val="24"/>
      <w:lang w:eastAsia="zh-CN" w:bidi="hi-IN"/>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contextualSpacing w:val="false"/>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EndnoteText">
    <w:name w:val="Endnote Text"/>
    <w:basedOn w:val="Normal"/>
    <w:link w:val="NotedefinCar"/>
    <w:uiPriority w:val="99"/>
    <w:semiHidden/>
    <w:unhideWhenUsed/>
    <w:pPr/>
    <w:rPr>
      <w:szCs w:val="20"/>
    </w:rPr>
  </w:style>
  <w:style w:type="paragraph" w:styleId="AnnotationText">
    <w:name w:val="Annotation Text"/>
    <w:basedOn w:val="Normal"/>
    <w:link w:val="CommentaireCar"/>
    <w:uiPriority w:val="99"/>
    <w:semiHidden/>
    <w:unhideWhenUsed/>
    <w:pPr/>
    <w:rPr>
      <w:szCs w:val="20"/>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BalloonText">
    <w:name w:val="Balloon Text"/>
    <w:basedOn w:val="Normal"/>
    <w:link w:val="TextedebullesCar"/>
    <w:uiPriority w:val="99"/>
    <w:semiHidden/>
    <w:unhideWhenUsed/>
    <w:qFormat/>
    <w:pPr>
      <w:spacing w:before="0" w:after="0"/>
      <w:contextualSpacing/>
    </w:pPr>
    <w:rPr>
      <w:rFonts w:ascii="Segoe UI" w:hAnsi="Segoe UI" w:cs="Segoe UI"/>
      <w:sz w:val="18"/>
      <w:szCs w:val="18"/>
    </w:rPr>
  </w:style>
  <w:style w:type="paragraph" w:styleId="HeaderandFooter">
    <w:name w:val="Header and Footer"/>
    <w:basedOn w:val="Normal"/>
    <w:qFormat/>
    <w:pPr/>
    <w:rPr/>
  </w:style>
  <w:style w:type="paragraph" w:styleId="Header">
    <w:name w:val="Header"/>
    <w:basedOn w:val="Normal"/>
    <w:link w:val="En-tteCar"/>
    <w:uiPriority w:val="99"/>
    <w:unhideWhenUsed/>
    <w:pPr>
      <w:tabs>
        <w:tab w:val="clear" w:pos="708"/>
        <w:tab w:val="center" w:pos="4536" w:leader="none"/>
        <w:tab w:val="right" w:pos="9072" w:leader="none"/>
      </w:tabs>
      <w:spacing w:before="0" w:after="0"/>
      <w:contextualSpacing/>
    </w:pPr>
    <w:rPr/>
  </w:style>
  <w:style w:type="paragraph" w:styleId="Footer">
    <w:name w:val="Footer"/>
    <w:basedOn w:val="Normal"/>
    <w:link w:val="PieddepageCar"/>
    <w:uiPriority w:val="99"/>
    <w:unhideWhenUsed/>
    <w:pPr>
      <w:tabs>
        <w:tab w:val="clear" w:pos="708"/>
        <w:tab w:val="center" w:pos="4536" w:leader="none"/>
        <w:tab w:val="right" w:pos="9072" w:leader="none"/>
      </w:tabs>
      <w:spacing w:before="0" w:after="0"/>
      <w:contextualSpacing/>
    </w:pPr>
    <w:rPr/>
  </w:style>
  <w:style w:type="paragraph" w:styleId="Standard" w:customStyle="1">
    <w:name w:val="Standard"/>
    <w:link w:val="StandardCar"/>
    <w:qFormat/>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4"/>
      <w:lang w:val="fr-FR" w:eastAsia="zh-CN" w:bidi="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pPr>
      <w:spacing w:after="0" w:line="240" w:lineRule="auto"/>
      <w:jc w:val="center"/>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egifrance.gouv.fr/affichTexte.do?cidTexte=JORFTEXT000034290626&amp;categorieLien=id"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oter" Target="footer3.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5</Pages>
  <Words>894</Words>
  <Characters>5554</Characters>
  <CharactersWithSpaces>6363</CharactersWithSpaces>
  <Paragraphs>97</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2026-02-13T14:45:37Z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2026-02-13T14:44:45,400000000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BAF_POLICY</vt:lpwstr>
  </property>
  <property fmtid="{D5CDD505-2E9C-101B-9397-08002B2CF9AE}" pid="12" name="urn:bails:IntellectualProperty:Impact:Level:Availability">
    <vt:lpwstr>0</vt:lpwstr>
  </property>
  <property fmtid="{D5CDD505-2E9C-101B-9397-08002B2CF9AE}" pid="13" name="urn:bails:IntellectualProperty:Impact:Level:Confidentiality">
    <vt:lpwstr>0</vt:lpwstr>
  </property>
  <property fmtid="{D5CDD505-2E9C-101B-9397-08002B2CF9AE}" pid="14" name="urn:bails:IntellectualProperty:Impact:Level:Integrity">
    <vt:lpwstr>0</vt:lpwstr>
  </property>
  <property fmtid="{D5CDD505-2E9C-101B-9397-08002B2CF9AE}" pid="15" name="urn:bails:IntellectualProperty:Impact:Scale">
    <vt:lpwstr>UK-Cabinet</vt:lpwstr>
  </property>
  <property fmtid="{D5CDD505-2E9C-101B-9397-08002B2CF9AE}" pid="16" name="urn:bails:IntellectualProperty:Marking:document-footer">
    <vt:lpwstr/>
  </property>
  <property fmtid="{D5CDD505-2E9C-101B-9397-08002B2CF9AE}" pid="17" name="urn:bails:IntellectualProperty:Marking:document-header">
    <vt:lpwstr/>
  </property>
  <property fmtid="{D5CDD505-2E9C-101B-9397-08002B2CF9AE}" pid="18" name="urn:bails:IntellectualProperty:Marking:document-watermark">
    <vt:lpwstr/>
  </property>
  <property fmtid="{D5CDD505-2E9C-101B-9397-08002B2CF9AE}" pid="19" name="urn:bails:IntellectualProperty:Marking:email-first-line-of-text">
    <vt:lpwstr/>
  </property>
  <property fmtid="{D5CDD505-2E9C-101B-9397-08002B2CF9AE}" pid="20" name="urn:bails:IntellectualProperty:Marking:email-last-line-of-text">
    <vt:lpwstr/>
  </property>
  <property fmtid="{D5CDD505-2E9C-101B-9397-08002B2CF9AE}" pid="21" name="urn:bails:IntellectualProperty:Marking:email-subject-prefix">
    <vt:lpwstr/>
  </property>
  <property fmtid="{D5CDD505-2E9C-101B-9397-08002B2CF9AE}" pid="22" name="urn:bails:IntellectualProperty:Marking:email-subject-suffix">
    <vt:lpwstr/>
  </property>
  <property fmtid="{D5CDD505-2E9C-101B-9397-08002B2CF9AE}" pid="23" name="urn:bails:IntellectualProperty:Marking:general-distribution-statement">
    <vt:lpwstr/>
  </property>
  <property fmtid="{D5CDD505-2E9C-101B-9397-08002B2CF9AE}" pid="24" name="urn:bails:IntellectualProperty:Marking:general-distribution-statement:ext:2">
    <vt:lpwstr/>
  </property>
  <property fmtid="{D5CDD505-2E9C-101B-9397-08002B2CF9AE}" pid="25" name="urn:bails:IntellectualProperty:Marking:general-distribution-statement:ext:3">
    <vt:lpwstr/>
  </property>
  <property fmtid="{D5CDD505-2E9C-101B-9397-08002B2CF9AE}" pid="26" name="urn:bails:IntellectualProperty:Marking:general-distribution-statement:ext:4">
    <vt:lpwstr/>
  </property>
  <property fmtid="{D5CDD505-2E9C-101B-9397-08002B2CF9AE}" pid="27" name="urn:bails:IntellectualProperty:Marking:general-summary">
    <vt:lpwstr/>
  </property>
  <property fmtid="{D5CDD505-2E9C-101B-9397-08002B2CF9AE}" pid="28" name="urn:bails:IntellectualProperty:Marking:general-warning-statement">
    <vt:lpwstr/>
  </property>
  <property fmtid="{D5CDD505-2E9C-101B-9397-08002B2CF9AE}" pid="29" name="urn:bails:IntellectualProperty:Marking:general-warning-statement:ext:2">
    <vt:lpwstr/>
  </property>
  <property fmtid="{D5CDD505-2E9C-101B-9397-08002B2CF9AE}" pid="30" name="urn:bails:IntellectualProperty:Marking:general-warning-statement:ext:3">
    <vt:lpwstr/>
  </property>
  <property fmtid="{D5CDD505-2E9C-101B-9397-08002B2CF9AE}" pid="31" name="urn:bails:IntellectualProperty:Marking:general-warning-statement:ext:4">
    <vt:lpwstr/>
  </property>
  <property fmtid="{D5CDD505-2E9C-101B-9397-08002B2CF9AE}" pid="32" name="urn:bails:IntellectualProperty:MarkingPrecedence">
    <vt:lpwstr>None</vt:lpwstr>
  </property>
  <property fmtid="{D5CDD505-2E9C-101B-9397-08002B2CF9AE}" pid="33" name="urn:bails:IntellectualProperty:Policy:Identifier">
    <vt:lpwstr>None</vt:lpwstr>
  </property>
  <property fmtid="{D5CDD505-2E9C-101B-9397-08002B2CF9AE}" pid="34" name="urn:bails:IntellectualProperty:Policy:Name">
    <vt:lpwstr>Exemple de stratégie TSCP</vt:lpwstr>
  </property>
  <property fmtid="{D5CDD505-2E9C-101B-9397-08002B2CF9AE}" pid="35" name="urn:bails:IntellectualProperty:PolicyAuthority:Country">
    <vt:lpwstr>None</vt:lpwstr>
  </property>
  <property fmtid="{D5CDD505-2E9C-101B-9397-08002B2CF9AE}" pid="36" name="urn:bails:IntellectualProperty:PolicyAuthority:Identifier">
    <vt:lpwstr>None</vt:lpwstr>
  </property>
  <property fmtid="{D5CDD505-2E9C-101B-9397-08002B2CF9AE}" pid="37" name="urn:bails:IntellectualProperty:PolicyAuthority:Name">
    <vt:lpwstr>Exemple d'autorité TSCP</vt:lpwstr>
  </property>
</Properties>
</file>